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EF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REPUBLIKA HRVATSKA</w:t>
      </w:r>
    </w:p>
    <w:p w:rsidR="009C0244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9C0244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Osnovna škola Bršadin</w:t>
      </w:r>
    </w:p>
    <w:p w:rsidR="009C0244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Duje Zaharića 1,32222 Bršadin</w:t>
      </w:r>
    </w:p>
    <w:p w:rsidR="009C0244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Šifra škole:16-439-003</w:t>
      </w:r>
    </w:p>
    <w:p w:rsidR="009C0244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RKDP:47463</w:t>
      </w:r>
    </w:p>
    <w:p w:rsidR="009C0244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RAZINA:31</w:t>
      </w:r>
    </w:p>
    <w:p w:rsidR="009C0244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Matični broj:2680742</w:t>
      </w:r>
    </w:p>
    <w:p w:rsidR="009C0244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OIB:38898545934</w:t>
      </w:r>
    </w:p>
    <w:p w:rsidR="009C0244" w:rsidRPr="006C4C7E" w:rsidRDefault="009C0244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Šifra djelatnosti:8520</w:t>
      </w:r>
    </w:p>
    <w:p w:rsidR="00043822" w:rsidRDefault="007D5D09" w:rsidP="007D5D09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IBAN:HR7125000091101332611</w:t>
      </w:r>
    </w:p>
    <w:p w:rsidR="00043822" w:rsidRDefault="00043822" w:rsidP="0004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400-03/22-01/1</w:t>
      </w:r>
    </w:p>
    <w:p w:rsidR="00043822" w:rsidRPr="006C4C7E" w:rsidRDefault="00043822" w:rsidP="0004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8F258F">
        <w:rPr>
          <w:rFonts w:ascii="Times New Roman" w:hAnsi="Times New Roman" w:cs="Times New Roman"/>
          <w:sz w:val="24"/>
          <w:szCs w:val="24"/>
        </w:rPr>
        <w:t>2196-125-22-01</w:t>
      </w:r>
    </w:p>
    <w:p w:rsidR="009C0244" w:rsidRPr="006C4C7E" w:rsidRDefault="00043822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44" w:rsidRPr="006C4C7E" w:rsidRDefault="00451C80" w:rsidP="009C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Bršadin</w:t>
      </w:r>
      <w:r w:rsidR="00E32EE6">
        <w:rPr>
          <w:rFonts w:ascii="Times New Roman" w:hAnsi="Times New Roman" w:cs="Times New Roman"/>
          <w:sz w:val="24"/>
          <w:szCs w:val="24"/>
        </w:rPr>
        <w:t>,</w:t>
      </w:r>
      <w:r w:rsidR="00CF00A4">
        <w:rPr>
          <w:rFonts w:ascii="Times New Roman" w:hAnsi="Times New Roman" w:cs="Times New Roman"/>
          <w:sz w:val="24"/>
          <w:szCs w:val="24"/>
        </w:rPr>
        <w:t xml:space="preserve"> 2</w:t>
      </w:r>
      <w:r w:rsidR="00E97A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siječnja </w:t>
      </w:r>
      <w:r w:rsidR="00CF00A4">
        <w:rPr>
          <w:rFonts w:ascii="Times New Roman" w:hAnsi="Times New Roman" w:cs="Times New Roman"/>
          <w:sz w:val="24"/>
          <w:szCs w:val="24"/>
        </w:rPr>
        <w:t>202</w:t>
      </w:r>
      <w:r w:rsidR="00E97A6A">
        <w:rPr>
          <w:rFonts w:ascii="Times New Roman" w:hAnsi="Times New Roman" w:cs="Times New Roman"/>
          <w:sz w:val="24"/>
          <w:szCs w:val="24"/>
        </w:rPr>
        <w:t>2</w:t>
      </w:r>
      <w:r w:rsidR="00CF0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C0244" w:rsidRPr="006C4C7E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9C0244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C7E">
        <w:rPr>
          <w:rFonts w:ascii="Times New Roman" w:hAnsi="Times New Roman" w:cs="Times New Roman"/>
          <w:b/>
          <w:i/>
          <w:sz w:val="24"/>
          <w:szCs w:val="24"/>
        </w:rPr>
        <w:t xml:space="preserve">BILJEŠKE UZ FINANCIJSKO </w:t>
      </w:r>
      <w:r w:rsidR="00E97A6A">
        <w:rPr>
          <w:rFonts w:ascii="Times New Roman" w:hAnsi="Times New Roman" w:cs="Times New Roman"/>
          <w:b/>
          <w:i/>
          <w:sz w:val="24"/>
          <w:szCs w:val="24"/>
        </w:rPr>
        <w:t>IZVJEŠĆE ZA RAZDOBLJE 01.01.2021. – 31.12.2021</w:t>
      </w:r>
      <w:r w:rsidRPr="006C4C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0244" w:rsidRDefault="009C0244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FE4" w:rsidRPr="006C4C7E" w:rsidRDefault="00EE4FE4" w:rsidP="00EE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Osnovna škola Bršadin</w:t>
      </w:r>
      <w:r w:rsidRPr="00EE4FE4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školi, te Statutom škole. Vodi proračunsko računovodstvo temeljem Pravilnika o proračunskom računovodstvu i Računskom planu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(NN 124/14, 115/15,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87/16</w:t>
      </w:r>
      <w:r>
        <w:rPr>
          <w:rFonts w:ascii="Times New Roman" w:hAnsi="Times New Roman" w:cs="Times New Roman"/>
          <w:sz w:val="24"/>
          <w:szCs w:val="24"/>
        </w:rPr>
        <w:t>, 3/18, 126/19, 108/20</w:t>
      </w:r>
      <w:r w:rsidRPr="00EE4FE4">
        <w:rPr>
          <w:rFonts w:ascii="Times New Roman" w:hAnsi="Times New Roman" w:cs="Times New Roman"/>
          <w:sz w:val="24"/>
          <w:szCs w:val="24"/>
        </w:rPr>
        <w:t>) a financijske izvještaje sastavlja i predaje u skladu s odredbama Pravilnika o financijskom izvještavanju u proračunskom računovodstvu NN 03/15,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93/15,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135/15,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28/17,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112/18,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AFF">
        <w:rPr>
          <w:rFonts w:ascii="Times New Roman" w:hAnsi="Times New Roman" w:cs="Times New Roman"/>
          <w:sz w:val="24"/>
          <w:szCs w:val="24"/>
        </w:rPr>
        <w:t xml:space="preserve">126/19, </w:t>
      </w:r>
      <w:r w:rsidRPr="00EE4FE4">
        <w:rPr>
          <w:rFonts w:ascii="Times New Roman" w:hAnsi="Times New Roman" w:cs="Times New Roman"/>
          <w:sz w:val="24"/>
          <w:szCs w:val="24"/>
        </w:rPr>
        <w:t>145/20</w:t>
      </w:r>
      <w:r w:rsidR="00B07AFF">
        <w:rPr>
          <w:rFonts w:ascii="Times New Roman" w:hAnsi="Times New Roman" w:cs="Times New Roman"/>
          <w:sz w:val="24"/>
          <w:szCs w:val="24"/>
        </w:rPr>
        <w:t>, 32/21</w:t>
      </w:r>
      <w:r w:rsidRPr="00EE4FE4">
        <w:rPr>
          <w:rFonts w:ascii="Times New Roman" w:hAnsi="Times New Roman" w:cs="Times New Roman"/>
          <w:sz w:val="24"/>
          <w:szCs w:val="24"/>
        </w:rPr>
        <w:t>.</w:t>
      </w:r>
    </w:p>
    <w:p w:rsidR="009C0244" w:rsidRDefault="009C0244" w:rsidP="00EE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Osnovna škola Bršadin, Bršadin je proračunski korisnik, koji se financira od 01.05.2012. godine iz proračuna Republike Hrvatske i to sredstva za plaće i naknade plaća, te iz Županijskog proračuna za materijalne </w:t>
      </w:r>
      <w:r w:rsidR="00E32EE6">
        <w:rPr>
          <w:rFonts w:ascii="Times New Roman" w:hAnsi="Times New Roman" w:cs="Times New Roman"/>
          <w:sz w:val="24"/>
          <w:szCs w:val="24"/>
        </w:rPr>
        <w:t>rashode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</w:p>
    <w:p w:rsidR="00EE4FE4" w:rsidRPr="006C4C7E" w:rsidRDefault="00EE4FE4" w:rsidP="00EE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A6A" w:rsidRPr="00E97A6A" w:rsidRDefault="00766D8C" w:rsidP="00E97A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97A6A" w:rsidRPr="0039626D">
        <w:rPr>
          <w:rFonts w:ascii="Times New Roman" w:hAnsi="Times New Roman" w:cs="Times New Roman"/>
          <w:b/>
          <w:i/>
          <w:sz w:val="24"/>
          <w:szCs w:val="24"/>
        </w:rPr>
        <w:t>. Bilješke uz obrazac PR – RAS Izvještaj o prihodima i rashodima, primicima i izdacima</w:t>
      </w:r>
    </w:p>
    <w:p w:rsidR="00E97A6A" w:rsidRDefault="00E97A6A" w:rsidP="00E97A6A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poslovanja iznose 3.449.581 kn, došlo je do porasta indeksa za 5</w:t>
      </w:r>
      <w:r w:rsidR="006048AB">
        <w:rPr>
          <w:rFonts w:ascii="Times New Roman" w:hAnsi="Times New Roman" w:cs="Times New Roman"/>
          <w:sz w:val="24"/>
          <w:szCs w:val="24"/>
        </w:rPr>
        <w:t>,5</w:t>
      </w:r>
      <w:r w:rsidR="00724B6C">
        <w:rPr>
          <w:rFonts w:ascii="Times New Roman" w:hAnsi="Times New Roman" w:cs="Times New Roman"/>
          <w:sz w:val="24"/>
          <w:szCs w:val="24"/>
        </w:rPr>
        <w:t xml:space="preserve"> postotna boda</w:t>
      </w:r>
      <w:r w:rsidR="006048AB">
        <w:rPr>
          <w:rFonts w:ascii="Times New Roman" w:hAnsi="Times New Roman" w:cs="Times New Roman"/>
          <w:sz w:val="24"/>
          <w:szCs w:val="24"/>
        </w:rPr>
        <w:t xml:space="preserve"> u odnosu na prethodnu godinu što je vidljivo na AOP 001.</w:t>
      </w:r>
    </w:p>
    <w:p w:rsidR="00724B6C" w:rsidRDefault="006048AB" w:rsidP="004D2ECC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B6C">
        <w:rPr>
          <w:rFonts w:ascii="Times New Roman" w:hAnsi="Times New Roman" w:cs="Times New Roman"/>
          <w:sz w:val="24"/>
          <w:szCs w:val="24"/>
        </w:rPr>
        <w:t xml:space="preserve">AOP 128 do povećanja indeksa došlo je što smo </w:t>
      </w:r>
      <w:r w:rsidR="00724B6C" w:rsidRPr="00724B6C">
        <w:rPr>
          <w:rFonts w:ascii="Times New Roman" w:hAnsi="Times New Roman" w:cs="Times New Roman"/>
          <w:sz w:val="24"/>
          <w:szCs w:val="24"/>
        </w:rPr>
        <w:t>dobili sredstva iz nadležnog proračuna za</w:t>
      </w:r>
      <w:r w:rsidRPr="00724B6C">
        <w:rPr>
          <w:rFonts w:ascii="Times New Roman" w:hAnsi="Times New Roman" w:cs="Times New Roman"/>
          <w:sz w:val="24"/>
          <w:szCs w:val="24"/>
        </w:rPr>
        <w:t xml:space="preserve"> bojanje vanjske fasade zgrade Škole i uređenje vanjskog okoliša.</w:t>
      </w:r>
    </w:p>
    <w:p w:rsidR="00724B6C" w:rsidRDefault="00B75359" w:rsidP="004D2ECC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iznose 3.577.278 kn što je vidljivo na AOP 146, došlo je do porasta indeksa zbog plaće za prekovremeni rad, plaća za posebne uvjete rada zbog kombiniranog razrednog odjela</w:t>
      </w:r>
      <w:r w:rsidR="007F2AE4">
        <w:rPr>
          <w:rFonts w:ascii="Times New Roman" w:hAnsi="Times New Roman" w:cs="Times New Roman"/>
          <w:sz w:val="24"/>
          <w:szCs w:val="24"/>
        </w:rPr>
        <w:t>, isplate razlike plaće po sudskim presudama</w:t>
      </w:r>
      <w:r>
        <w:rPr>
          <w:rFonts w:ascii="Times New Roman" w:hAnsi="Times New Roman" w:cs="Times New Roman"/>
          <w:sz w:val="24"/>
          <w:szCs w:val="24"/>
        </w:rPr>
        <w:t xml:space="preserve"> te materijala i dijelova za tekuće i investicijsko održavanje jer smo imali radove uređenja vanjskog okoliša Škole.</w:t>
      </w:r>
    </w:p>
    <w:p w:rsidR="00E32EE6" w:rsidRDefault="00E97A6A" w:rsidP="00E32EE6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4B6C">
        <w:rPr>
          <w:rFonts w:ascii="Times New Roman" w:hAnsi="Times New Roman" w:cs="Times New Roman"/>
          <w:sz w:val="24"/>
          <w:szCs w:val="24"/>
        </w:rPr>
        <w:t>AOP 34</w:t>
      </w:r>
      <w:r w:rsidR="00D70D38">
        <w:rPr>
          <w:rFonts w:ascii="Times New Roman" w:hAnsi="Times New Roman" w:cs="Times New Roman"/>
          <w:sz w:val="24"/>
          <w:szCs w:val="24"/>
        </w:rPr>
        <w:t>4</w:t>
      </w:r>
      <w:r w:rsidRPr="00724B6C">
        <w:rPr>
          <w:rFonts w:ascii="Times New Roman" w:hAnsi="Times New Roman" w:cs="Times New Roman"/>
          <w:sz w:val="24"/>
          <w:szCs w:val="24"/>
        </w:rPr>
        <w:t xml:space="preserve"> došlo je do </w:t>
      </w:r>
      <w:r w:rsidR="00D70D38">
        <w:rPr>
          <w:rFonts w:ascii="Times New Roman" w:hAnsi="Times New Roman" w:cs="Times New Roman"/>
          <w:sz w:val="24"/>
          <w:szCs w:val="24"/>
        </w:rPr>
        <w:t>smanjenja</w:t>
      </w:r>
      <w:r w:rsidRPr="00724B6C">
        <w:rPr>
          <w:rFonts w:ascii="Times New Roman" w:hAnsi="Times New Roman" w:cs="Times New Roman"/>
          <w:sz w:val="24"/>
          <w:szCs w:val="24"/>
        </w:rPr>
        <w:t xml:space="preserve"> indeksa</w:t>
      </w:r>
      <w:r w:rsidR="007F2AE4">
        <w:rPr>
          <w:rFonts w:ascii="Times New Roman" w:hAnsi="Times New Roman" w:cs="Times New Roman"/>
          <w:sz w:val="24"/>
          <w:szCs w:val="24"/>
        </w:rPr>
        <w:t>,</w:t>
      </w:r>
      <w:r w:rsidRPr="00724B6C">
        <w:rPr>
          <w:rFonts w:ascii="Times New Roman" w:hAnsi="Times New Roman" w:cs="Times New Roman"/>
          <w:sz w:val="24"/>
          <w:szCs w:val="24"/>
        </w:rPr>
        <w:t xml:space="preserve"> </w:t>
      </w:r>
      <w:r w:rsidR="00D70D38">
        <w:rPr>
          <w:rFonts w:ascii="Times New Roman" w:hAnsi="Times New Roman" w:cs="Times New Roman"/>
          <w:sz w:val="24"/>
          <w:szCs w:val="24"/>
        </w:rPr>
        <w:t>osim</w:t>
      </w:r>
      <w:r w:rsidRPr="00724B6C">
        <w:rPr>
          <w:rFonts w:ascii="Times New Roman" w:hAnsi="Times New Roman" w:cs="Times New Roman"/>
          <w:sz w:val="24"/>
          <w:szCs w:val="24"/>
        </w:rPr>
        <w:t xml:space="preserve"> kupnje udžbenika za nastavu i knjiga u školskoj knjižnici, </w:t>
      </w:r>
      <w:r w:rsidR="00D70D38">
        <w:rPr>
          <w:rFonts w:ascii="Times New Roman" w:hAnsi="Times New Roman" w:cs="Times New Roman"/>
          <w:sz w:val="24"/>
          <w:szCs w:val="24"/>
        </w:rPr>
        <w:t>nije bilo značajnije nabave dugotrajne nefinancijske imovine</w:t>
      </w:r>
      <w:r w:rsidRPr="00724B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02" w:type="dxa"/>
        <w:tblLook w:val="04A0" w:firstRow="1" w:lastRow="0" w:firstColumn="1" w:lastColumn="0" w:noHBand="0" w:noVBand="1"/>
      </w:tblPr>
      <w:tblGrid>
        <w:gridCol w:w="665"/>
        <w:gridCol w:w="5098"/>
        <w:gridCol w:w="493"/>
        <w:gridCol w:w="1108"/>
        <w:gridCol w:w="1108"/>
        <w:gridCol w:w="630"/>
      </w:tblGrid>
      <w:tr w:rsidR="00D70D38" w:rsidRPr="00D70D38" w:rsidTr="00D70D38">
        <w:trPr>
          <w:trHeight w:val="263"/>
        </w:trPr>
        <w:tc>
          <w:tcPr>
            <w:tcW w:w="66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0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nefinancijske imovine (AOP 345+357+390+394+396)</w:t>
            </w:r>
          </w:p>
        </w:tc>
        <w:tc>
          <w:tcPr>
            <w:tcW w:w="4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70D38" w:rsidRPr="00D70D38" w:rsidRDefault="00D70D38" w:rsidP="00D7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</w:t>
            </w:r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75.505</w:t>
            </w:r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65.502</w:t>
            </w:r>
          </w:p>
        </w:tc>
        <w:tc>
          <w:tcPr>
            <w:tcW w:w="6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86,8</w:t>
            </w:r>
          </w:p>
        </w:tc>
      </w:tr>
    </w:tbl>
    <w:p w:rsidR="00E97A6A" w:rsidRPr="00900935" w:rsidRDefault="00E97A6A" w:rsidP="00E97A6A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7A6A" w:rsidRPr="00CC2116" w:rsidRDefault="00E97A6A" w:rsidP="00D70D38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AOP 6</w:t>
      </w:r>
      <w:r w:rsidR="007F5620">
        <w:rPr>
          <w:rFonts w:ascii="Times New Roman" w:hAnsi="Times New Roman" w:cs="Times New Roman"/>
          <w:sz w:val="24"/>
          <w:szCs w:val="24"/>
        </w:rPr>
        <w:t>32</w:t>
      </w:r>
      <w:r w:rsidRPr="00CC2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ukupni prihodi iznose 3.</w:t>
      </w:r>
      <w:r w:rsidR="00724B6C">
        <w:rPr>
          <w:rFonts w:ascii="Times New Roman" w:hAnsi="Times New Roman" w:cs="Times New Roman"/>
          <w:sz w:val="24"/>
          <w:szCs w:val="24"/>
        </w:rPr>
        <w:t>449.581</w:t>
      </w:r>
      <w:r w:rsidRPr="00CC2116">
        <w:rPr>
          <w:rFonts w:ascii="Times New Roman" w:hAnsi="Times New Roman" w:cs="Times New Roman"/>
          <w:sz w:val="24"/>
          <w:szCs w:val="24"/>
        </w:rPr>
        <w:t>, ukupni rashodi poslovanja iznose 3.</w:t>
      </w:r>
      <w:r w:rsidR="00724B6C">
        <w:rPr>
          <w:rFonts w:ascii="Times New Roman" w:hAnsi="Times New Roman" w:cs="Times New Roman"/>
          <w:sz w:val="24"/>
          <w:szCs w:val="24"/>
        </w:rPr>
        <w:t>645.4</w:t>
      </w:r>
      <w:r w:rsidR="007F5620">
        <w:rPr>
          <w:rFonts w:ascii="Times New Roman" w:hAnsi="Times New Roman" w:cs="Times New Roman"/>
          <w:sz w:val="24"/>
          <w:szCs w:val="24"/>
        </w:rPr>
        <w:t xml:space="preserve">98 što je vidljivo na </w:t>
      </w:r>
      <w:r w:rsidR="00724B6C">
        <w:rPr>
          <w:rFonts w:ascii="Times New Roman" w:hAnsi="Times New Roman" w:cs="Times New Roman"/>
          <w:sz w:val="24"/>
          <w:szCs w:val="24"/>
        </w:rPr>
        <w:t>AOP 633.</w:t>
      </w:r>
      <w:r w:rsidRPr="00CC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6A" w:rsidRPr="00CC2116" w:rsidRDefault="00E97A6A" w:rsidP="00E97A6A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Š</w:t>
      </w:r>
      <w:r w:rsidR="00724B6C">
        <w:rPr>
          <w:rFonts w:ascii="Times New Roman" w:hAnsi="Times New Roman" w:cs="Times New Roman"/>
          <w:sz w:val="24"/>
          <w:szCs w:val="24"/>
        </w:rPr>
        <w:t>kola je ostvarila u 2021</w:t>
      </w:r>
      <w:r w:rsidRPr="00CC2116">
        <w:rPr>
          <w:rFonts w:ascii="Times New Roman" w:hAnsi="Times New Roman" w:cs="Times New Roman"/>
          <w:sz w:val="24"/>
          <w:szCs w:val="24"/>
        </w:rPr>
        <w:t>. godini višak prihoda, koji se sastoji od prenesenog viška iz 20</w:t>
      </w:r>
      <w:r w:rsidR="00724B6C">
        <w:rPr>
          <w:rFonts w:ascii="Times New Roman" w:hAnsi="Times New Roman" w:cs="Times New Roman"/>
          <w:sz w:val="24"/>
          <w:szCs w:val="24"/>
        </w:rPr>
        <w:t>20</w:t>
      </w:r>
      <w:r w:rsidRPr="00CC2116">
        <w:rPr>
          <w:rFonts w:ascii="Times New Roman" w:hAnsi="Times New Roman" w:cs="Times New Roman"/>
          <w:sz w:val="24"/>
          <w:szCs w:val="24"/>
        </w:rPr>
        <w:t xml:space="preserve">. godine zbog  EU projekata iz prethodnih godina, te primljenih sredstava za završna izvješća </w:t>
      </w:r>
      <w:r w:rsidRPr="00CC2116">
        <w:rPr>
          <w:rFonts w:ascii="Times New Roman" w:hAnsi="Times New Roman" w:cs="Times New Roman"/>
          <w:sz w:val="24"/>
          <w:szCs w:val="24"/>
        </w:rPr>
        <w:lastRenderedPageBreak/>
        <w:t>za Erasmus + projekte. AOP 63</w:t>
      </w:r>
      <w:r w:rsidR="00E32EE6">
        <w:rPr>
          <w:rFonts w:ascii="Times New Roman" w:hAnsi="Times New Roman" w:cs="Times New Roman"/>
          <w:sz w:val="24"/>
          <w:szCs w:val="24"/>
        </w:rPr>
        <w:t>8</w:t>
      </w:r>
      <w:r w:rsidRPr="00CC2116">
        <w:rPr>
          <w:rFonts w:ascii="Times New Roman" w:hAnsi="Times New Roman" w:cs="Times New Roman"/>
          <w:sz w:val="24"/>
          <w:szCs w:val="24"/>
        </w:rPr>
        <w:t xml:space="preserve"> prikazuje višak prihoda raspoloživ u sljedećem razdoblju</w:t>
      </w:r>
      <w:r w:rsidR="00E32EE6">
        <w:rPr>
          <w:rFonts w:ascii="Times New Roman" w:hAnsi="Times New Roman" w:cs="Times New Roman"/>
          <w:sz w:val="24"/>
          <w:szCs w:val="24"/>
        </w:rPr>
        <w:t xml:space="preserve"> u iznosu 262.920 kn</w:t>
      </w:r>
      <w:r w:rsidRPr="00CC21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5239"/>
        <w:gridCol w:w="295"/>
        <w:gridCol w:w="1114"/>
        <w:gridCol w:w="1114"/>
        <w:gridCol w:w="522"/>
      </w:tblGrid>
      <w:tr w:rsidR="00724B6C" w:rsidTr="00724B6C">
        <w:trPr>
          <w:trHeight w:val="228"/>
        </w:trPr>
        <w:tc>
          <w:tcPr>
            <w:tcW w:w="8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UKUPNI PRIHODI I PRIMICI (AOP 406+413)</w:t>
            </w:r>
          </w:p>
        </w:tc>
        <w:tc>
          <w:tcPr>
            <w:tcW w:w="2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11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3.276.385</w:t>
            </w:r>
          </w:p>
        </w:tc>
        <w:tc>
          <w:tcPr>
            <w:tcW w:w="11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3.449.581</w:t>
            </w:r>
          </w:p>
        </w:tc>
        <w:tc>
          <w:tcPr>
            <w:tcW w:w="5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</w:tr>
      <w:tr w:rsidR="00724B6C" w:rsidTr="00724B6C">
        <w:trPr>
          <w:trHeight w:val="2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UKUPNI RASHODI I IZDACI (AOP 407+521)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3.247.933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3.645.498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112,2</w:t>
            </w:r>
          </w:p>
        </w:tc>
      </w:tr>
      <w:tr w:rsidR="00724B6C" w:rsidTr="00724B6C">
        <w:trPr>
          <w:trHeight w:val="2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PRIHODA I PRIMITAKA (AOP 632-633)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28.452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4B6C" w:rsidTr="00724B6C">
        <w:trPr>
          <w:trHeight w:val="2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PRIHODA I PRIMITAKA (AOP 633-632)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195.917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24B6C" w:rsidTr="00724B6C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9221-9222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prihoda i primitaka - preneseni (AOP 410-411+630-631)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430.385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458.837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</w:tr>
      <w:tr w:rsidR="00724B6C" w:rsidTr="00724B6C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9222-9221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prihoda i primitaka - preneseni (AOP 411-410+631-630)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24B6C" w:rsidTr="00724B6C">
        <w:trPr>
          <w:trHeight w:val="2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prihoda i primitaka raspoloživ u sljedećem razdoblju (AOP 634+636-635-637)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724B6C" w:rsidRDefault="00724B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458.837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262.920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724B6C" w:rsidRDefault="00724B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</w:tr>
    </w:tbl>
    <w:p w:rsidR="00E97A6A" w:rsidRDefault="00E97A6A" w:rsidP="00724B6C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4B6C" w:rsidRPr="00900935" w:rsidRDefault="00724B6C" w:rsidP="00724B6C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7A6A" w:rsidRDefault="00E97A6A" w:rsidP="00E97A6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116">
        <w:rPr>
          <w:rFonts w:ascii="Times New Roman" w:hAnsi="Times New Roman" w:cs="Times New Roman"/>
          <w:sz w:val="24"/>
          <w:szCs w:val="24"/>
        </w:rPr>
        <w:t>AOP 6</w:t>
      </w:r>
      <w:r w:rsidR="00E24B4C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CC2116">
        <w:rPr>
          <w:rFonts w:ascii="Times New Roman" w:hAnsi="Times New Roman" w:cs="Times New Roman"/>
          <w:sz w:val="24"/>
          <w:szCs w:val="24"/>
        </w:rPr>
        <w:t xml:space="preserve"> obračunate, a ne isplaćen</w:t>
      </w:r>
      <w:r w:rsidR="006048AB">
        <w:rPr>
          <w:rFonts w:ascii="Times New Roman" w:hAnsi="Times New Roman" w:cs="Times New Roman"/>
          <w:sz w:val="24"/>
          <w:szCs w:val="24"/>
        </w:rPr>
        <w:t>e obveze za zaposlene za 12/2021</w:t>
      </w:r>
      <w:r w:rsidRPr="00CC2116">
        <w:rPr>
          <w:rFonts w:ascii="Times New Roman" w:hAnsi="Times New Roman" w:cs="Times New Roman"/>
          <w:sz w:val="24"/>
          <w:szCs w:val="24"/>
        </w:rPr>
        <w:t xml:space="preserve"> godine.</w:t>
      </w:r>
    </w:p>
    <w:tbl>
      <w:tblPr>
        <w:tblW w:w="9123" w:type="dxa"/>
        <w:tblLook w:val="04A0" w:firstRow="1" w:lastRow="0" w:firstColumn="1" w:lastColumn="0" w:noHBand="0" w:noVBand="1"/>
      </w:tblPr>
      <w:tblGrid>
        <w:gridCol w:w="670"/>
        <w:gridCol w:w="5119"/>
        <w:gridCol w:w="489"/>
        <w:gridCol w:w="1110"/>
        <w:gridCol w:w="1110"/>
        <w:gridCol w:w="625"/>
      </w:tblGrid>
      <w:tr w:rsidR="00E32EE6" w:rsidRPr="00E32EE6" w:rsidTr="00C428C4">
        <w:trPr>
          <w:trHeight w:val="277"/>
        </w:trPr>
        <w:tc>
          <w:tcPr>
            <w:tcW w:w="670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119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Unaprijed plaćeni rashodi budućih razdoblja i nedospjela naplata prihoda (aktivna vremenska razgraničenja)</w:t>
            </w:r>
          </w:p>
        </w:tc>
        <w:tc>
          <w:tcPr>
            <w:tcW w:w="489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</w:t>
            </w:r>
          </w:p>
        </w:tc>
        <w:tc>
          <w:tcPr>
            <w:tcW w:w="1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251.095</w:t>
            </w:r>
          </w:p>
        </w:tc>
        <w:tc>
          <w:tcPr>
            <w:tcW w:w="111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263.438</w:t>
            </w:r>
          </w:p>
        </w:tc>
        <w:tc>
          <w:tcPr>
            <w:tcW w:w="62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104,9</w:t>
            </w:r>
          </w:p>
        </w:tc>
      </w:tr>
    </w:tbl>
    <w:p w:rsidR="00E97A6A" w:rsidRPr="00CC2116" w:rsidRDefault="00E97A6A" w:rsidP="00E9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6A" w:rsidRDefault="00E97A6A" w:rsidP="00E97A6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C6E">
        <w:rPr>
          <w:rFonts w:ascii="Times New Roman" w:hAnsi="Times New Roman" w:cs="Times New Roman"/>
          <w:sz w:val="24"/>
          <w:szCs w:val="24"/>
        </w:rPr>
        <w:t>A</w:t>
      </w:r>
      <w:r w:rsidR="00E32EE6">
        <w:rPr>
          <w:rFonts w:ascii="Times New Roman" w:hAnsi="Times New Roman" w:cs="Times New Roman"/>
          <w:sz w:val="24"/>
          <w:szCs w:val="24"/>
        </w:rPr>
        <w:t>OP 644</w:t>
      </w:r>
      <w:r w:rsidRPr="00957C6E">
        <w:rPr>
          <w:rFonts w:ascii="Times New Roman" w:hAnsi="Times New Roman" w:cs="Times New Roman"/>
          <w:sz w:val="24"/>
          <w:szCs w:val="24"/>
        </w:rPr>
        <w:t xml:space="preserve"> prema izvatku iz FINA-e, stanje na žiro-računu sa 31.12.202</w:t>
      </w:r>
      <w:r w:rsidR="00E32EE6">
        <w:rPr>
          <w:rFonts w:ascii="Times New Roman" w:hAnsi="Times New Roman" w:cs="Times New Roman"/>
          <w:sz w:val="24"/>
          <w:szCs w:val="24"/>
        </w:rPr>
        <w:t>1</w:t>
      </w:r>
      <w:r w:rsidRPr="00957C6E">
        <w:rPr>
          <w:rFonts w:ascii="Times New Roman" w:hAnsi="Times New Roman" w:cs="Times New Roman"/>
          <w:sz w:val="24"/>
          <w:szCs w:val="24"/>
        </w:rPr>
        <w:t>.</w:t>
      </w:r>
      <w:r w:rsidR="00E32EE6">
        <w:rPr>
          <w:rFonts w:ascii="Times New Roman" w:hAnsi="Times New Roman" w:cs="Times New Roman"/>
          <w:sz w:val="24"/>
          <w:szCs w:val="24"/>
        </w:rPr>
        <w:t xml:space="preserve"> iznosi 338</w:t>
      </w:r>
      <w:r w:rsidRPr="00957C6E">
        <w:rPr>
          <w:rFonts w:ascii="Times New Roman" w:hAnsi="Times New Roman" w:cs="Times New Roman"/>
          <w:sz w:val="24"/>
          <w:szCs w:val="24"/>
        </w:rPr>
        <w:t>.</w:t>
      </w:r>
      <w:r w:rsidR="00E32EE6">
        <w:rPr>
          <w:rFonts w:ascii="Times New Roman" w:hAnsi="Times New Roman" w:cs="Times New Roman"/>
          <w:sz w:val="24"/>
          <w:szCs w:val="24"/>
        </w:rPr>
        <w:t>268 kn.</w:t>
      </w:r>
    </w:p>
    <w:tbl>
      <w:tblPr>
        <w:tblW w:w="9138" w:type="dxa"/>
        <w:tblBorders>
          <w:top w:val="single" w:sz="4" w:space="0" w:color="7F7F7F" w:themeColor="text1" w:themeTint="80"/>
          <w:left w:val="single" w:sz="4" w:space="0" w:color="auto"/>
          <w:bottom w:val="single" w:sz="4" w:space="0" w:color="C0C0C0"/>
          <w:right w:val="single" w:sz="4" w:space="0" w:color="auto"/>
          <w:insideH w:val="single" w:sz="4" w:space="0" w:color="C0C0C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156"/>
        <w:gridCol w:w="483"/>
        <w:gridCol w:w="1112"/>
        <w:gridCol w:w="1112"/>
        <w:gridCol w:w="617"/>
      </w:tblGrid>
      <w:tr w:rsidR="00E32EE6" w:rsidRPr="00E32EE6" w:rsidTr="00C428C4">
        <w:trPr>
          <w:trHeight w:val="256"/>
        </w:trPr>
        <w:tc>
          <w:tcPr>
            <w:tcW w:w="659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394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340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444.406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476.926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107,3</w:t>
            </w:r>
          </w:p>
        </w:tc>
      </w:tr>
      <w:tr w:rsidR="00E32EE6" w:rsidRPr="00E32EE6" w:rsidTr="00C428C4">
        <w:trPr>
          <w:trHeight w:val="256"/>
        </w:trPr>
        <w:tc>
          <w:tcPr>
            <w:tcW w:w="659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E32EE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5394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340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427.403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415.740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97,3</w:t>
            </w:r>
          </w:p>
        </w:tc>
      </w:tr>
      <w:tr w:rsidR="00E32EE6" w:rsidRPr="00E32EE6" w:rsidTr="00C428C4">
        <w:trPr>
          <w:trHeight w:val="256"/>
        </w:trPr>
        <w:tc>
          <w:tcPr>
            <w:tcW w:w="659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E32EE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5394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340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394.883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554.398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140,4</w:t>
            </w:r>
          </w:p>
        </w:tc>
      </w:tr>
      <w:tr w:rsidR="00E32EE6" w:rsidRPr="00E32EE6" w:rsidTr="00C428C4">
        <w:trPr>
          <w:trHeight w:val="256"/>
        </w:trPr>
        <w:tc>
          <w:tcPr>
            <w:tcW w:w="659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394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izvještajnog razdoblja (AOP 641+642-643)</w:t>
            </w:r>
          </w:p>
        </w:tc>
        <w:tc>
          <w:tcPr>
            <w:tcW w:w="340" w:type="dxa"/>
            <w:shd w:val="clear" w:color="auto" w:fill="auto"/>
            <w:hideMark/>
          </w:tcPr>
          <w:p w:rsidR="00E32EE6" w:rsidRPr="00E32EE6" w:rsidRDefault="00E32EE6" w:rsidP="00E3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644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476.926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338.268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E32EE6" w:rsidRPr="00E32EE6" w:rsidRDefault="00E32EE6" w:rsidP="00E32E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32E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70,9</w:t>
            </w:r>
          </w:p>
        </w:tc>
      </w:tr>
    </w:tbl>
    <w:p w:rsidR="00E97A6A" w:rsidRPr="00957C6E" w:rsidRDefault="00E97A6A" w:rsidP="00E9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6A" w:rsidRPr="006048AB" w:rsidRDefault="00E97A6A" w:rsidP="006C4C7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64</w:t>
      </w:r>
      <w:r w:rsidR="00C428C4">
        <w:rPr>
          <w:rFonts w:ascii="Times New Roman" w:hAnsi="Times New Roman" w:cs="Times New Roman"/>
          <w:sz w:val="24"/>
          <w:szCs w:val="24"/>
        </w:rPr>
        <w:t>6</w:t>
      </w:r>
      <w:r w:rsidRPr="006C4C7E">
        <w:rPr>
          <w:rFonts w:ascii="Times New Roman" w:hAnsi="Times New Roman" w:cs="Times New Roman"/>
          <w:sz w:val="24"/>
          <w:szCs w:val="24"/>
        </w:rPr>
        <w:t xml:space="preserve"> prosječan broj </w:t>
      </w:r>
      <w:r w:rsidR="00C428C4">
        <w:rPr>
          <w:rFonts w:ascii="Times New Roman" w:hAnsi="Times New Roman" w:cs="Times New Roman"/>
          <w:sz w:val="24"/>
          <w:szCs w:val="24"/>
        </w:rPr>
        <w:t>zaposlenika</w:t>
      </w:r>
      <w:r w:rsidRPr="006C4C7E">
        <w:rPr>
          <w:rFonts w:ascii="Times New Roman" w:hAnsi="Times New Roman" w:cs="Times New Roman"/>
          <w:sz w:val="24"/>
          <w:szCs w:val="24"/>
        </w:rPr>
        <w:t xml:space="preserve"> krajem izvještajnog razdoblja je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</w:p>
    <w:p w:rsidR="00E97A6A" w:rsidRPr="006C4C7E" w:rsidRDefault="00E97A6A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244" w:rsidRPr="006C4C7E" w:rsidRDefault="00766D8C" w:rsidP="006C4C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5580F" w:rsidRPr="006C4C7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0244" w:rsidRPr="006C4C7E">
        <w:rPr>
          <w:rFonts w:ascii="Times New Roman" w:hAnsi="Times New Roman" w:cs="Times New Roman"/>
          <w:b/>
          <w:i/>
          <w:sz w:val="24"/>
          <w:szCs w:val="24"/>
        </w:rPr>
        <w:t>Bilješke uz bilancu – OBRAZAC BILANCA</w:t>
      </w:r>
    </w:p>
    <w:p w:rsidR="009C0244" w:rsidRDefault="009C0244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AOP 001 ukupna imovina iznosi </w:t>
      </w:r>
      <w:r w:rsidR="00AD42F9" w:rsidRPr="006C4C7E">
        <w:rPr>
          <w:rFonts w:ascii="Times New Roman" w:hAnsi="Times New Roman" w:cs="Times New Roman"/>
          <w:sz w:val="24"/>
          <w:szCs w:val="24"/>
        </w:rPr>
        <w:t>2.</w:t>
      </w:r>
      <w:r w:rsidR="00D70D38">
        <w:rPr>
          <w:rFonts w:ascii="Times New Roman" w:hAnsi="Times New Roman" w:cs="Times New Roman"/>
          <w:sz w:val="24"/>
          <w:szCs w:val="24"/>
        </w:rPr>
        <w:t>419</w:t>
      </w:r>
      <w:r w:rsidR="00AD42F9" w:rsidRPr="006C4C7E">
        <w:rPr>
          <w:rFonts w:ascii="Times New Roman" w:hAnsi="Times New Roman" w:cs="Times New Roman"/>
          <w:sz w:val="24"/>
          <w:szCs w:val="24"/>
        </w:rPr>
        <w:t>.</w:t>
      </w:r>
      <w:r w:rsidR="00D70D38">
        <w:rPr>
          <w:rFonts w:ascii="Times New Roman" w:hAnsi="Times New Roman" w:cs="Times New Roman"/>
          <w:sz w:val="24"/>
          <w:szCs w:val="24"/>
        </w:rPr>
        <w:t>554</w:t>
      </w:r>
      <w:r w:rsidR="00AD42F9" w:rsidRPr="006C4C7E">
        <w:rPr>
          <w:rFonts w:ascii="Times New Roman" w:hAnsi="Times New Roman" w:cs="Times New Roman"/>
          <w:sz w:val="24"/>
          <w:szCs w:val="24"/>
        </w:rPr>
        <w:t xml:space="preserve"> kn</w:t>
      </w:r>
      <w:r w:rsidR="000C1FE7" w:rsidRPr="006C4C7E">
        <w:rPr>
          <w:rFonts w:ascii="Times New Roman" w:hAnsi="Times New Roman" w:cs="Times New Roman"/>
          <w:sz w:val="24"/>
          <w:szCs w:val="24"/>
        </w:rPr>
        <w:t>, nije došlo do prevelikog odstupanja u indeksu u odnosu na prošlu godinu.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653"/>
        <w:gridCol w:w="5106"/>
        <w:gridCol w:w="483"/>
        <w:gridCol w:w="1106"/>
        <w:gridCol w:w="1106"/>
        <w:gridCol w:w="617"/>
      </w:tblGrid>
      <w:tr w:rsidR="00D70D38" w:rsidRPr="00D70D38" w:rsidTr="00D70D38">
        <w:trPr>
          <w:trHeight w:val="25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IMOVINA (AOP 002+063)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2.541.472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2.419.554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95,2</w:t>
            </w:r>
          </w:p>
        </w:tc>
      </w:tr>
      <w:tr w:rsidR="00D70D38" w:rsidRPr="00D70D38" w:rsidTr="00D70D38">
        <w:trPr>
          <w:trHeight w:val="25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Nefinancijska imovina (AOP 003+007+046+047+051+058)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1.801.618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1.775.528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98,6</w:t>
            </w:r>
          </w:p>
        </w:tc>
      </w:tr>
    </w:tbl>
    <w:p w:rsidR="0039626D" w:rsidRPr="006C4C7E" w:rsidRDefault="0039626D" w:rsidP="0039626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D42F9" w:rsidRDefault="00AD42F9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AOP 067 koji pokazuje ukupno stanje novčanih sredst</w:t>
      </w:r>
      <w:r w:rsidR="006A5C9E">
        <w:rPr>
          <w:rFonts w:ascii="Times New Roman" w:hAnsi="Times New Roman" w:cs="Times New Roman"/>
          <w:sz w:val="24"/>
          <w:szCs w:val="24"/>
        </w:rPr>
        <w:t>ava na žiro računu sa 31.12.202</w:t>
      </w:r>
      <w:r w:rsidR="00D70D38">
        <w:rPr>
          <w:rFonts w:ascii="Times New Roman" w:hAnsi="Times New Roman" w:cs="Times New Roman"/>
          <w:sz w:val="24"/>
          <w:szCs w:val="24"/>
        </w:rPr>
        <w:t>1</w:t>
      </w:r>
      <w:r w:rsidR="006A5C9E">
        <w:rPr>
          <w:rFonts w:ascii="Times New Roman" w:hAnsi="Times New Roman" w:cs="Times New Roman"/>
          <w:sz w:val="24"/>
          <w:szCs w:val="24"/>
        </w:rPr>
        <w:t>.</w:t>
      </w:r>
      <w:r w:rsidRPr="006C4C7E">
        <w:rPr>
          <w:rFonts w:ascii="Times New Roman" w:hAnsi="Times New Roman" w:cs="Times New Roman"/>
          <w:sz w:val="24"/>
          <w:szCs w:val="24"/>
        </w:rPr>
        <w:t xml:space="preserve"> iznosi </w:t>
      </w:r>
      <w:r w:rsidR="00D70D38">
        <w:rPr>
          <w:rFonts w:ascii="Times New Roman" w:hAnsi="Times New Roman" w:cs="Times New Roman"/>
          <w:sz w:val="24"/>
          <w:szCs w:val="24"/>
        </w:rPr>
        <w:t>338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 w:rsidR="00D70D38">
        <w:rPr>
          <w:rFonts w:ascii="Times New Roman" w:hAnsi="Times New Roman" w:cs="Times New Roman"/>
          <w:sz w:val="24"/>
          <w:szCs w:val="24"/>
        </w:rPr>
        <w:t>9268</w:t>
      </w:r>
      <w:r w:rsidRPr="006C4C7E">
        <w:rPr>
          <w:rFonts w:ascii="Times New Roman" w:hAnsi="Times New Roman" w:cs="Times New Roman"/>
          <w:sz w:val="24"/>
          <w:szCs w:val="24"/>
        </w:rPr>
        <w:t xml:space="preserve">, do </w:t>
      </w:r>
      <w:r w:rsidR="00D70D38">
        <w:rPr>
          <w:rFonts w:ascii="Times New Roman" w:hAnsi="Times New Roman" w:cs="Times New Roman"/>
          <w:sz w:val="24"/>
          <w:szCs w:val="24"/>
        </w:rPr>
        <w:t>smanjenja</w:t>
      </w:r>
      <w:r w:rsidRPr="006C4C7E">
        <w:rPr>
          <w:rFonts w:ascii="Times New Roman" w:hAnsi="Times New Roman" w:cs="Times New Roman"/>
          <w:sz w:val="24"/>
          <w:szCs w:val="24"/>
        </w:rPr>
        <w:t xml:space="preserve"> indeksa je došlo zato što su u školi u 20</w:t>
      </w:r>
      <w:r w:rsidR="006A5C9E">
        <w:rPr>
          <w:rFonts w:ascii="Times New Roman" w:hAnsi="Times New Roman" w:cs="Times New Roman"/>
          <w:sz w:val="24"/>
          <w:szCs w:val="24"/>
        </w:rPr>
        <w:t>2</w:t>
      </w:r>
      <w:r w:rsidR="00D70D38">
        <w:rPr>
          <w:rFonts w:ascii="Times New Roman" w:hAnsi="Times New Roman" w:cs="Times New Roman"/>
          <w:sz w:val="24"/>
          <w:szCs w:val="24"/>
        </w:rPr>
        <w:t>1.</w:t>
      </w:r>
      <w:r w:rsidRPr="006C4C7E">
        <w:rPr>
          <w:rFonts w:ascii="Times New Roman" w:hAnsi="Times New Roman" w:cs="Times New Roman"/>
          <w:sz w:val="24"/>
          <w:szCs w:val="24"/>
        </w:rPr>
        <w:t xml:space="preserve"> godini </w:t>
      </w:r>
      <w:r w:rsidR="00D70D38">
        <w:rPr>
          <w:rFonts w:ascii="Times New Roman" w:hAnsi="Times New Roman" w:cs="Times New Roman"/>
          <w:sz w:val="24"/>
          <w:szCs w:val="24"/>
        </w:rPr>
        <w:t xml:space="preserve">odvijali radovi uređenja vanjskog okoliša škole, zbog održivosti </w:t>
      </w:r>
      <w:r w:rsidR="007F2AE4">
        <w:rPr>
          <w:rFonts w:ascii="Times New Roman" w:hAnsi="Times New Roman" w:cs="Times New Roman"/>
          <w:sz w:val="24"/>
          <w:szCs w:val="24"/>
        </w:rPr>
        <w:t xml:space="preserve">Erasmus + </w:t>
      </w:r>
      <w:r w:rsidR="00D70D38">
        <w:rPr>
          <w:rFonts w:ascii="Times New Roman" w:hAnsi="Times New Roman" w:cs="Times New Roman"/>
          <w:sz w:val="24"/>
          <w:szCs w:val="24"/>
        </w:rPr>
        <w:t>projekata, koji su dijelom financirani iz sredstava Erasmus + projekata</w:t>
      </w:r>
      <w:r w:rsidR="000C1FE7" w:rsidRPr="006C4C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54" w:type="dxa"/>
        <w:tblLook w:val="04A0" w:firstRow="1" w:lastRow="0" w:firstColumn="1" w:lastColumn="0" w:noHBand="0" w:noVBand="1"/>
      </w:tblPr>
      <w:tblGrid>
        <w:gridCol w:w="688"/>
        <w:gridCol w:w="5223"/>
        <w:gridCol w:w="483"/>
        <w:gridCol w:w="1116"/>
        <w:gridCol w:w="1116"/>
        <w:gridCol w:w="528"/>
      </w:tblGrid>
      <w:tr w:rsidR="00D70D38" w:rsidRPr="00D70D38" w:rsidTr="00D70D38">
        <w:trPr>
          <w:trHeight w:val="264"/>
        </w:trPr>
        <w:tc>
          <w:tcPr>
            <w:tcW w:w="69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1112</w:t>
            </w:r>
          </w:p>
        </w:tc>
        <w:tc>
          <w:tcPr>
            <w:tcW w:w="53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na računu kod tuzemnih poslovnih banaka</w:t>
            </w:r>
          </w:p>
        </w:tc>
        <w:tc>
          <w:tcPr>
            <w:tcW w:w="3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1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476.925</w:t>
            </w:r>
          </w:p>
        </w:tc>
        <w:tc>
          <w:tcPr>
            <w:tcW w:w="11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338.268</w:t>
            </w:r>
          </w:p>
        </w:tc>
        <w:tc>
          <w:tcPr>
            <w:tcW w:w="5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70,9</w:t>
            </w:r>
          </w:p>
        </w:tc>
      </w:tr>
      <w:tr w:rsidR="00D70D38" w:rsidRPr="00D70D38" w:rsidTr="00D70D38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na računu kod inozemnih poslovnih banaka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D70D38" w:rsidRPr="00D70D38" w:rsidTr="00D70D38">
        <w:trPr>
          <w:trHeight w:val="26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Prijelazni račun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D38" w:rsidRPr="00D70D38" w:rsidRDefault="00D70D38" w:rsidP="00D7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0D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39626D" w:rsidRPr="006C4C7E" w:rsidRDefault="0039626D" w:rsidP="0039626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C1FE7" w:rsidRDefault="000C1FE7" w:rsidP="006C4C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lastRenderedPageBreak/>
        <w:t>AOP 16</w:t>
      </w:r>
      <w:r w:rsidR="00766D8C">
        <w:rPr>
          <w:rFonts w:ascii="Times New Roman" w:hAnsi="Times New Roman" w:cs="Times New Roman"/>
          <w:sz w:val="24"/>
          <w:szCs w:val="24"/>
        </w:rPr>
        <w:t>5</w:t>
      </w:r>
      <w:r w:rsidRPr="006C4C7E">
        <w:rPr>
          <w:rFonts w:ascii="Times New Roman" w:hAnsi="Times New Roman" w:cs="Times New Roman"/>
          <w:sz w:val="24"/>
          <w:szCs w:val="24"/>
        </w:rPr>
        <w:t xml:space="preserve"> rashodi </w:t>
      </w:r>
      <w:r w:rsidR="006A5C9E">
        <w:rPr>
          <w:rFonts w:ascii="Times New Roman" w:hAnsi="Times New Roman" w:cs="Times New Roman"/>
          <w:sz w:val="24"/>
          <w:szCs w:val="24"/>
        </w:rPr>
        <w:t>budućeg razdoblja koji iznose 2</w:t>
      </w:r>
      <w:r w:rsidR="00766D8C">
        <w:rPr>
          <w:rFonts w:ascii="Times New Roman" w:hAnsi="Times New Roman" w:cs="Times New Roman"/>
          <w:sz w:val="24"/>
          <w:szCs w:val="24"/>
        </w:rPr>
        <w:t>63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 w:rsidR="00766D8C">
        <w:rPr>
          <w:rFonts w:ascii="Times New Roman" w:hAnsi="Times New Roman" w:cs="Times New Roman"/>
          <w:sz w:val="24"/>
          <w:szCs w:val="24"/>
        </w:rPr>
        <w:t>438</w:t>
      </w:r>
      <w:r w:rsidRPr="006C4C7E">
        <w:rPr>
          <w:rFonts w:ascii="Times New Roman" w:hAnsi="Times New Roman" w:cs="Times New Roman"/>
          <w:sz w:val="24"/>
          <w:szCs w:val="24"/>
        </w:rPr>
        <w:t>, a s</w:t>
      </w:r>
      <w:r w:rsidR="00766D8C">
        <w:rPr>
          <w:rFonts w:ascii="Times New Roman" w:hAnsi="Times New Roman" w:cs="Times New Roman"/>
          <w:sz w:val="24"/>
          <w:szCs w:val="24"/>
        </w:rPr>
        <w:t>astoje se od plaća za prosinac,</w:t>
      </w:r>
      <w:r w:rsidRPr="006C4C7E">
        <w:rPr>
          <w:rFonts w:ascii="Times New Roman" w:hAnsi="Times New Roman" w:cs="Times New Roman"/>
          <w:sz w:val="24"/>
          <w:szCs w:val="24"/>
        </w:rPr>
        <w:t xml:space="preserve"> n</w:t>
      </w:r>
      <w:r w:rsidR="00766D8C">
        <w:rPr>
          <w:rFonts w:ascii="Times New Roman" w:hAnsi="Times New Roman" w:cs="Times New Roman"/>
          <w:sz w:val="24"/>
          <w:szCs w:val="24"/>
        </w:rPr>
        <w:t>aknada za prijevoz prosinac 2021</w:t>
      </w:r>
      <w:r w:rsidR="006A5C9E">
        <w:rPr>
          <w:rFonts w:ascii="Times New Roman" w:hAnsi="Times New Roman" w:cs="Times New Roman"/>
          <w:sz w:val="24"/>
          <w:szCs w:val="24"/>
        </w:rPr>
        <w:t>.</w:t>
      </w:r>
      <w:r w:rsidR="00766D8C">
        <w:rPr>
          <w:rFonts w:ascii="Times New Roman" w:hAnsi="Times New Roman" w:cs="Times New Roman"/>
          <w:sz w:val="24"/>
          <w:szCs w:val="24"/>
        </w:rPr>
        <w:t xml:space="preserve"> godine, obračun jubilarne nagrade za 15 godina u službi i regresa za korištenje godišnjeg odmora u 2021. godini.</w:t>
      </w:r>
    </w:p>
    <w:tbl>
      <w:tblPr>
        <w:tblW w:w="9161" w:type="dxa"/>
        <w:tblLook w:val="04A0" w:firstRow="1" w:lastRow="0" w:firstColumn="1" w:lastColumn="0" w:noHBand="0" w:noVBand="1"/>
      </w:tblPr>
      <w:tblGrid>
        <w:gridCol w:w="672"/>
        <w:gridCol w:w="5092"/>
        <w:gridCol w:w="511"/>
        <w:gridCol w:w="1117"/>
        <w:gridCol w:w="1117"/>
        <w:gridCol w:w="652"/>
      </w:tblGrid>
      <w:tr w:rsidR="00766D8C" w:rsidRPr="00766D8C" w:rsidTr="00766D8C">
        <w:trPr>
          <w:trHeight w:val="308"/>
        </w:trPr>
        <w:tc>
          <w:tcPr>
            <w:tcW w:w="6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0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budućih razdoblja i nedospjela naplata prihoda (AOP 166 do 168)</w:t>
            </w:r>
          </w:p>
        </w:tc>
        <w:tc>
          <w:tcPr>
            <w:tcW w:w="5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11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251.095</w:t>
            </w:r>
          </w:p>
        </w:tc>
        <w:tc>
          <w:tcPr>
            <w:tcW w:w="11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263.438</w:t>
            </w:r>
          </w:p>
        </w:tc>
        <w:tc>
          <w:tcPr>
            <w:tcW w:w="6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104,9</w:t>
            </w:r>
          </w:p>
        </w:tc>
      </w:tr>
    </w:tbl>
    <w:p w:rsidR="00172DD9" w:rsidRDefault="00172DD9" w:rsidP="00172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FE4" w:rsidRPr="0001736F" w:rsidRDefault="00172DD9" w:rsidP="000173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36F">
        <w:rPr>
          <w:rFonts w:ascii="Times New Roman" w:hAnsi="Times New Roman" w:cs="Times New Roman"/>
          <w:sz w:val="24"/>
          <w:szCs w:val="24"/>
        </w:rPr>
        <w:t>Obvezne bilješke uz Bilancu iz čl. 14. Pravilnika se ne iskazuju, jer školska ustanova takve podatke nema iskazane u Bilanci.</w:t>
      </w:r>
    </w:p>
    <w:p w:rsidR="008F258F" w:rsidRPr="00172DD9" w:rsidRDefault="008F258F" w:rsidP="00172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E4" w:rsidRPr="00766D8C" w:rsidRDefault="00B935E4" w:rsidP="00766D8C">
      <w:pPr>
        <w:pStyle w:val="Odlomakpopis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RAS funkcijski</w:t>
      </w:r>
    </w:p>
    <w:tbl>
      <w:tblPr>
        <w:tblW w:w="9111" w:type="dxa"/>
        <w:tblLook w:val="04A0" w:firstRow="1" w:lastRow="0" w:firstColumn="1" w:lastColumn="0" w:noHBand="0" w:noVBand="1"/>
      </w:tblPr>
      <w:tblGrid>
        <w:gridCol w:w="617"/>
        <w:gridCol w:w="5255"/>
        <w:gridCol w:w="483"/>
        <w:gridCol w:w="1085"/>
        <w:gridCol w:w="1085"/>
        <w:gridCol w:w="617"/>
      </w:tblGrid>
      <w:tr w:rsidR="00766D8C" w:rsidRPr="00766D8C" w:rsidTr="00766D8C">
        <w:trPr>
          <w:trHeight w:val="253"/>
        </w:trPr>
        <w:tc>
          <w:tcPr>
            <w:tcW w:w="6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52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(AOP 111+114+117+118+121 do 124)</w:t>
            </w:r>
          </w:p>
        </w:tc>
        <w:tc>
          <w:tcPr>
            <w:tcW w:w="4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3.247.934</w:t>
            </w:r>
          </w:p>
        </w:tc>
        <w:tc>
          <w:tcPr>
            <w:tcW w:w="10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3.642.780</w:t>
            </w:r>
          </w:p>
        </w:tc>
        <w:tc>
          <w:tcPr>
            <w:tcW w:w="60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112,2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i osnovno obrazovanje (AOP 112+113)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3.233.949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3.616.603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111,8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Osnovno obrazovanje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3.233.949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3.616.603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111,8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Srednjoškolsko obrazovanje (AOP 115+116)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Niže srednjoškolsko obrazovanje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 srednjoškolsko obrazovanje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Poslije srednjoškolsko, ali ne visoko obrazovanje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Visoka naobrazba (AOP 119+120)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stupanj visoke naobrazbe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Drugi stupanj visoke naobrazbe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koje se ne može definirati po stupnju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766D8C" w:rsidRPr="00766D8C" w:rsidTr="00766D8C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Dodatne usluge u obrazovanju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26.177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D8C" w:rsidRPr="00766D8C" w:rsidRDefault="00766D8C" w:rsidP="00766D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D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187,2</w:t>
            </w:r>
          </w:p>
        </w:tc>
      </w:tr>
    </w:tbl>
    <w:p w:rsidR="00766D8C" w:rsidRDefault="00766D8C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E4" w:rsidRPr="006C4C7E" w:rsidRDefault="00B935E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     Osnovna škola Bršadin ob</w:t>
      </w:r>
      <w:r w:rsidR="001A7DAF">
        <w:rPr>
          <w:rFonts w:ascii="Times New Roman" w:hAnsi="Times New Roman" w:cs="Times New Roman"/>
          <w:sz w:val="24"/>
          <w:szCs w:val="24"/>
        </w:rPr>
        <w:t>av</w:t>
      </w:r>
      <w:r w:rsidRPr="006C4C7E">
        <w:rPr>
          <w:rFonts w:ascii="Times New Roman" w:hAnsi="Times New Roman" w:cs="Times New Roman"/>
          <w:sz w:val="24"/>
          <w:szCs w:val="24"/>
        </w:rPr>
        <w:t>lja djelatnost osnovnog obrazovanja te su ukupni rashod</w:t>
      </w:r>
      <w:r w:rsidR="006026AD">
        <w:rPr>
          <w:rFonts w:ascii="Times New Roman" w:hAnsi="Times New Roman" w:cs="Times New Roman"/>
          <w:sz w:val="24"/>
          <w:szCs w:val="24"/>
        </w:rPr>
        <w:t>i poslovanja iskazani na AOP 110</w:t>
      </w:r>
      <w:r w:rsidRPr="006C4C7E">
        <w:rPr>
          <w:rFonts w:ascii="Times New Roman" w:hAnsi="Times New Roman" w:cs="Times New Roman"/>
          <w:sz w:val="24"/>
          <w:szCs w:val="24"/>
        </w:rPr>
        <w:t xml:space="preserve"> u iznosu od 3.</w:t>
      </w:r>
      <w:r w:rsidR="00766D8C">
        <w:rPr>
          <w:rFonts w:ascii="Times New Roman" w:hAnsi="Times New Roman" w:cs="Times New Roman"/>
          <w:sz w:val="24"/>
          <w:szCs w:val="24"/>
        </w:rPr>
        <w:t>642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  <w:r w:rsidR="00766D8C">
        <w:rPr>
          <w:rFonts w:ascii="Times New Roman" w:hAnsi="Times New Roman" w:cs="Times New Roman"/>
          <w:sz w:val="24"/>
          <w:szCs w:val="24"/>
        </w:rPr>
        <w:t>780</w:t>
      </w:r>
      <w:r w:rsidRPr="006C4C7E">
        <w:rPr>
          <w:rFonts w:ascii="Times New Roman" w:hAnsi="Times New Roman" w:cs="Times New Roman"/>
          <w:sz w:val="24"/>
          <w:szCs w:val="24"/>
        </w:rPr>
        <w:t xml:space="preserve"> kn, te dodatne usluge u obrazovanju na kojoj se posebno izdvaja</w:t>
      </w:r>
      <w:r w:rsidR="006C4C7E" w:rsidRPr="006C4C7E">
        <w:rPr>
          <w:rFonts w:ascii="Times New Roman" w:hAnsi="Times New Roman" w:cs="Times New Roman"/>
          <w:sz w:val="24"/>
          <w:szCs w:val="24"/>
        </w:rPr>
        <w:t xml:space="preserve">ju rashodi vezani uz prehranu učenika osnovnih školi, što je vidljivo na AOP 122 u iznosu od </w:t>
      </w:r>
      <w:r w:rsidR="00766D8C">
        <w:rPr>
          <w:rFonts w:ascii="Times New Roman" w:hAnsi="Times New Roman" w:cs="Times New Roman"/>
          <w:sz w:val="24"/>
          <w:szCs w:val="24"/>
        </w:rPr>
        <w:t>26</w:t>
      </w:r>
      <w:r w:rsidR="006C4C7E" w:rsidRPr="006C4C7E">
        <w:rPr>
          <w:rFonts w:ascii="Times New Roman" w:hAnsi="Times New Roman" w:cs="Times New Roman"/>
          <w:sz w:val="24"/>
          <w:szCs w:val="24"/>
        </w:rPr>
        <w:t>.</w:t>
      </w:r>
      <w:r w:rsidR="00766D8C">
        <w:rPr>
          <w:rFonts w:ascii="Times New Roman" w:hAnsi="Times New Roman" w:cs="Times New Roman"/>
          <w:sz w:val="24"/>
          <w:szCs w:val="24"/>
        </w:rPr>
        <w:t>177</w:t>
      </w:r>
      <w:r w:rsidR="006C4C7E" w:rsidRPr="006C4C7E">
        <w:rPr>
          <w:rFonts w:ascii="Times New Roman" w:hAnsi="Times New Roman" w:cs="Times New Roman"/>
          <w:sz w:val="24"/>
          <w:szCs w:val="24"/>
        </w:rPr>
        <w:t>,00 kn.</w:t>
      </w:r>
    </w:p>
    <w:p w:rsidR="006C4C7E" w:rsidRDefault="006C4C7E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>U obrazac su također uključeni i ukupni rashodi poslovanja i rashodi vezani za prehranu učenika ostvareno u 20</w:t>
      </w:r>
      <w:r w:rsidR="00766D8C">
        <w:rPr>
          <w:rFonts w:ascii="Times New Roman" w:hAnsi="Times New Roman" w:cs="Times New Roman"/>
          <w:sz w:val="24"/>
          <w:szCs w:val="24"/>
        </w:rPr>
        <w:t>21</w:t>
      </w:r>
      <w:r w:rsidRPr="006C4C7E">
        <w:rPr>
          <w:rFonts w:ascii="Times New Roman" w:hAnsi="Times New Roman" w:cs="Times New Roman"/>
          <w:sz w:val="24"/>
          <w:szCs w:val="24"/>
        </w:rPr>
        <w:t>. godini.</w:t>
      </w:r>
    </w:p>
    <w:p w:rsidR="008F258F" w:rsidRPr="006C4C7E" w:rsidRDefault="008F258F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Pr="00766D8C" w:rsidRDefault="006C4C7E" w:rsidP="006C4C7E">
      <w:pPr>
        <w:pStyle w:val="Odlomakpopisa"/>
        <w:numPr>
          <w:ilvl w:val="0"/>
          <w:numId w:val="6"/>
        </w:numPr>
        <w:ind w:left="426" w:hanging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P-VRIO</w:t>
      </w:r>
    </w:p>
    <w:p w:rsidR="006C4C7E" w:rsidRDefault="00766D8C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 2021</w:t>
      </w:r>
      <w:r w:rsidR="001A62DC">
        <w:rPr>
          <w:rFonts w:ascii="Times New Roman" w:hAnsi="Times New Roman" w:cs="Times New Roman"/>
          <w:sz w:val="24"/>
          <w:szCs w:val="24"/>
        </w:rPr>
        <w:t>.</w:t>
      </w:r>
      <w:r w:rsidR="006C4C7E" w:rsidRPr="006C4C7E">
        <w:rPr>
          <w:rFonts w:ascii="Times New Roman" w:hAnsi="Times New Roman" w:cs="Times New Roman"/>
          <w:sz w:val="24"/>
          <w:szCs w:val="24"/>
        </w:rPr>
        <w:t xml:space="preserve"> godini nije došlo do promjene u obujmu imovine škole. </w:t>
      </w:r>
      <w:r w:rsidR="007D5D09">
        <w:rPr>
          <w:rFonts w:ascii="Times New Roman" w:hAnsi="Times New Roman" w:cs="Times New Roman"/>
          <w:sz w:val="24"/>
          <w:szCs w:val="24"/>
        </w:rPr>
        <w:t>Nefinancijska imovina koja je nabavljena u sklopu Programa cjelovite kurikularne reforme, prema uputi ministarstva vodi se na izvanbilančnim zapisima, do odluke o prijenosu vlasništva.</w:t>
      </w:r>
    </w:p>
    <w:p w:rsidR="00766D8C" w:rsidRDefault="00766D8C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8C4" w:rsidRDefault="00C428C4" w:rsidP="00A37201">
      <w:pPr>
        <w:pStyle w:val="Odlomakpopis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201">
        <w:rPr>
          <w:rFonts w:ascii="Times New Roman" w:hAnsi="Times New Roman" w:cs="Times New Roman"/>
          <w:b/>
          <w:i/>
          <w:sz w:val="24"/>
          <w:szCs w:val="24"/>
        </w:rPr>
        <w:t>Bilješke uz obrazac OBVEZA</w:t>
      </w:r>
    </w:p>
    <w:p w:rsidR="00A37201" w:rsidRPr="00A37201" w:rsidRDefault="00A37201" w:rsidP="00A372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7215"/>
        <w:gridCol w:w="483"/>
        <w:gridCol w:w="1349"/>
      </w:tblGrid>
      <w:tr w:rsidR="00A37201" w:rsidRPr="00A37201" w:rsidTr="00A37201">
        <w:trPr>
          <w:trHeight w:val="251"/>
        </w:trPr>
        <w:tc>
          <w:tcPr>
            <w:tcW w:w="7315" w:type="dxa"/>
            <w:tcBorders>
              <w:top w:val="single" w:sz="4" w:space="0" w:color="auto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A37201" w:rsidRPr="00A37201" w:rsidRDefault="00A37201" w:rsidP="00A37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37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1. siječnja (=AOP 038* iz Izvještaja o obvezama za prethodnu godinu)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A37201" w:rsidRPr="00A37201" w:rsidRDefault="00A37201" w:rsidP="00A372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A372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01" w:rsidRPr="00A37201" w:rsidRDefault="00A37201" w:rsidP="00A37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2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284.519</w:t>
            </w:r>
          </w:p>
        </w:tc>
      </w:tr>
    </w:tbl>
    <w:p w:rsidR="00A37201" w:rsidRDefault="00A37201" w:rsidP="00A372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7201" w:rsidRPr="00A37201" w:rsidRDefault="00A37201" w:rsidP="00A372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1102"/>
        <w:gridCol w:w="1307"/>
      </w:tblGrid>
      <w:tr w:rsidR="00A37201" w:rsidRPr="00A37201" w:rsidTr="00A37201">
        <w:trPr>
          <w:trHeight w:val="359"/>
        </w:trPr>
        <w:tc>
          <w:tcPr>
            <w:tcW w:w="6663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A37201" w:rsidRPr="00A37201" w:rsidRDefault="00A37201" w:rsidP="00A37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37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na kraju izvještajnog razdoblja (AOP 001+002-020) i (AOP 039+097)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37201" w:rsidRPr="00A37201" w:rsidRDefault="00A37201" w:rsidP="00A3720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A3720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1307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01" w:rsidRPr="00A37201" w:rsidRDefault="00A37201" w:rsidP="00A3720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A37201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382.074</w:t>
            </w:r>
          </w:p>
        </w:tc>
      </w:tr>
    </w:tbl>
    <w:p w:rsidR="00A37201" w:rsidRDefault="00A37201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E" w:rsidRDefault="00C428C4" w:rsidP="006C4C7E">
      <w:pPr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Stanje obveza </w:t>
      </w:r>
      <w:r>
        <w:rPr>
          <w:rFonts w:ascii="Times New Roman" w:hAnsi="Times New Roman" w:cs="Times New Roman"/>
          <w:sz w:val="24"/>
          <w:szCs w:val="24"/>
        </w:rPr>
        <w:t>01.01.2021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 odnosi se na neplaćene </w:t>
      </w:r>
      <w:r>
        <w:rPr>
          <w:rFonts w:ascii="Times New Roman" w:hAnsi="Times New Roman" w:cs="Times New Roman"/>
          <w:sz w:val="24"/>
          <w:szCs w:val="24"/>
        </w:rPr>
        <w:t>račune te plaću za prosinac 2020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>a koji su podmireni početkom 2021</w:t>
      </w:r>
      <w:r w:rsidRPr="00C72A3D">
        <w:rPr>
          <w:rFonts w:ascii="Times New Roman" w:hAnsi="Times New Roman" w:cs="Times New Roman"/>
          <w:sz w:val="24"/>
          <w:szCs w:val="24"/>
        </w:rPr>
        <w:t>. godine. Ukupne obveze na kraj</w:t>
      </w:r>
      <w:r>
        <w:rPr>
          <w:rFonts w:ascii="Times New Roman" w:hAnsi="Times New Roman" w:cs="Times New Roman"/>
          <w:sz w:val="24"/>
          <w:szCs w:val="24"/>
        </w:rPr>
        <w:t>u izvještajnog razdoblja iznose 382.074</w:t>
      </w:r>
      <w:r w:rsidRPr="00C72A3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AOP 038</w:t>
      </w:r>
      <w:r w:rsidRPr="00C72A3D">
        <w:rPr>
          <w:rFonts w:ascii="Times New Roman" w:hAnsi="Times New Roman" w:cs="Times New Roman"/>
          <w:sz w:val="24"/>
          <w:szCs w:val="24"/>
        </w:rPr>
        <w:t>, a odnose se na plaće zaposlenika te neplaćene</w:t>
      </w:r>
      <w:r>
        <w:rPr>
          <w:rFonts w:ascii="Times New Roman" w:hAnsi="Times New Roman" w:cs="Times New Roman"/>
          <w:sz w:val="24"/>
          <w:szCs w:val="24"/>
        </w:rPr>
        <w:t xml:space="preserve"> račune čije dospijeće je u 2022</w:t>
      </w:r>
      <w:r w:rsidRPr="00C72A3D">
        <w:rPr>
          <w:rFonts w:ascii="Times New Roman" w:hAnsi="Times New Roman" w:cs="Times New Roman"/>
          <w:sz w:val="24"/>
          <w:szCs w:val="24"/>
        </w:rPr>
        <w:t>. godini.</w:t>
      </w:r>
    </w:p>
    <w:p w:rsidR="008F258F" w:rsidRDefault="008F258F" w:rsidP="006C4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DAF" w:rsidRPr="007F2AE4" w:rsidRDefault="00172DD9" w:rsidP="001A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DAF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 računovodstva:</w:t>
      </w:r>
      <w:r w:rsidR="001A7DAF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7DAF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7DAF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7DAF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Ravnateljica:</w:t>
      </w:r>
    </w:p>
    <w:p w:rsidR="001A7DAF" w:rsidRPr="007F2AE4" w:rsidRDefault="001A7DAF" w:rsidP="001A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7DAF" w:rsidRPr="007F2AE4" w:rsidRDefault="001A7DAF" w:rsidP="001A7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____________________</w:t>
      </w:r>
    </w:p>
    <w:p w:rsidR="006C4C7E" w:rsidRPr="00EE4FE4" w:rsidRDefault="001A7DAF" w:rsidP="00EE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Bauranov</w:t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sruč. spec. oec.    </w:t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66D8C"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7F2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Tatjana Lukić, prof.</w:t>
      </w:r>
    </w:p>
    <w:sectPr w:rsidR="006C4C7E" w:rsidRPr="00EE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96D"/>
    <w:multiLevelType w:val="hybridMultilevel"/>
    <w:tmpl w:val="6BB0B1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50DA"/>
    <w:multiLevelType w:val="hybridMultilevel"/>
    <w:tmpl w:val="2750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7213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C22D6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43107"/>
    <w:multiLevelType w:val="hybridMultilevel"/>
    <w:tmpl w:val="3F60D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80F4B"/>
    <w:multiLevelType w:val="hybridMultilevel"/>
    <w:tmpl w:val="AF4EF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4"/>
    <w:rsid w:val="0001736F"/>
    <w:rsid w:val="0003600B"/>
    <w:rsid w:val="00043822"/>
    <w:rsid w:val="000C1FE7"/>
    <w:rsid w:val="00172DD9"/>
    <w:rsid w:val="00192E5B"/>
    <w:rsid w:val="001A62DC"/>
    <w:rsid w:val="001A7DAF"/>
    <w:rsid w:val="001F141E"/>
    <w:rsid w:val="002348CE"/>
    <w:rsid w:val="002A5A71"/>
    <w:rsid w:val="002E3074"/>
    <w:rsid w:val="0039626D"/>
    <w:rsid w:val="003A4146"/>
    <w:rsid w:val="003D410F"/>
    <w:rsid w:val="00451C80"/>
    <w:rsid w:val="0051387B"/>
    <w:rsid w:val="0055408B"/>
    <w:rsid w:val="005E31CA"/>
    <w:rsid w:val="006026AD"/>
    <w:rsid w:val="006048AB"/>
    <w:rsid w:val="006426AC"/>
    <w:rsid w:val="006A5C9E"/>
    <w:rsid w:val="006C4C7E"/>
    <w:rsid w:val="00704444"/>
    <w:rsid w:val="00724B6C"/>
    <w:rsid w:val="007505A1"/>
    <w:rsid w:val="00766D8C"/>
    <w:rsid w:val="007733CB"/>
    <w:rsid w:val="007D5D09"/>
    <w:rsid w:val="007F2AE4"/>
    <w:rsid w:val="007F5620"/>
    <w:rsid w:val="00810E9E"/>
    <w:rsid w:val="00827FEC"/>
    <w:rsid w:val="0085669C"/>
    <w:rsid w:val="008E7C29"/>
    <w:rsid w:val="008F258F"/>
    <w:rsid w:val="00900935"/>
    <w:rsid w:val="00957C6E"/>
    <w:rsid w:val="00992ED6"/>
    <w:rsid w:val="009A7CEA"/>
    <w:rsid w:val="009C0244"/>
    <w:rsid w:val="009C1605"/>
    <w:rsid w:val="009E2779"/>
    <w:rsid w:val="00A03429"/>
    <w:rsid w:val="00A37201"/>
    <w:rsid w:val="00A5580F"/>
    <w:rsid w:val="00AD42F9"/>
    <w:rsid w:val="00AD57EF"/>
    <w:rsid w:val="00B07AFF"/>
    <w:rsid w:val="00B7454D"/>
    <w:rsid w:val="00B75359"/>
    <w:rsid w:val="00B935E4"/>
    <w:rsid w:val="00BD5687"/>
    <w:rsid w:val="00C428C4"/>
    <w:rsid w:val="00CC2116"/>
    <w:rsid w:val="00CF00A4"/>
    <w:rsid w:val="00CF176A"/>
    <w:rsid w:val="00D70D38"/>
    <w:rsid w:val="00E24B4C"/>
    <w:rsid w:val="00E32EE6"/>
    <w:rsid w:val="00E97A6A"/>
    <w:rsid w:val="00E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ADEC"/>
  <w15:chartTrackingRefBased/>
  <w15:docId w15:val="{03723274-5532-4D7D-998C-3C8282A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244"/>
    <w:pPr>
      <w:ind w:left="720"/>
      <w:contextualSpacing/>
    </w:pPr>
  </w:style>
  <w:style w:type="table" w:styleId="Reetkatablice">
    <w:name w:val="Table Grid"/>
    <w:basedOn w:val="Obinatablica"/>
    <w:uiPriority w:val="39"/>
    <w:rsid w:val="00A5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7683-1C75-48B8-8622-B6D45D28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12</cp:revision>
  <dcterms:created xsi:type="dcterms:W3CDTF">2021-02-09T16:14:00Z</dcterms:created>
  <dcterms:modified xsi:type="dcterms:W3CDTF">2022-01-31T13:48:00Z</dcterms:modified>
</cp:coreProperties>
</file>